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0.0553894042969"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World Language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left="0" w:right="1058.480224609375"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left="36.959991455078125" w:right="1058.480224609375" w:hanging="0.7847976684570312"/>
        <w:jc w:val="left"/>
        <w:rPr>
          <w:rFonts w:ascii="Calibri" w:cs="Calibri" w:eastAsia="Calibri" w:hAnsi="Calibri"/>
          <w:b w:val="1"/>
        </w:rPr>
      </w:pPr>
      <w:r w:rsidDel="00000000" w:rsidR="00000000" w:rsidRPr="00000000">
        <w:rPr>
          <w:rFonts w:ascii="Calibri" w:cs="Calibri" w:eastAsia="Calibri" w:hAnsi="Calibri"/>
          <w:b w:val="1"/>
          <w:rtl w:val="0"/>
        </w:rPr>
        <w:t xml:space="preserve">Graduation Requirements for Class of 2025 and beyond:</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8.6669921875" w:line="244.63171005249023" w:lineRule="auto"/>
        <w:ind w:left="720" w:right="1058.480224609375"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Two credits in the same language or two credits in American Sign Language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rPr>
      </w:pPr>
      <w:r w:rsidDel="00000000" w:rsidR="00000000" w:rsidRPr="00000000">
        <w:rPr>
          <w:rFonts w:ascii="Calibri" w:cs="Calibri" w:eastAsia="Calibri" w:hAnsi="Calibri"/>
          <w:b w:val="1"/>
          <w:rtl w:val="0"/>
        </w:rPr>
        <w:t xml:space="preserve">Graduation Requirements for Class of 2021-2024:</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98.6669921875" w:line="244.63171005249023" w:lineRule="auto"/>
        <w:ind w:left="720" w:right="1058.480224609375" w:hanging="360"/>
        <w:jc w:val="left"/>
        <w:rPr>
          <w:rFonts w:ascii="Calibri" w:cs="Calibri" w:eastAsia="Calibri" w:hAnsi="Calibri"/>
          <w:b w:val="1"/>
          <w:u w:val="none"/>
        </w:rPr>
      </w:pPr>
      <w:r w:rsidDel="00000000" w:rsidR="00000000" w:rsidRPr="00000000">
        <w:rPr>
          <w:rFonts w:ascii="Calibri" w:cs="Calibri" w:eastAsia="Calibri" w:hAnsi="Calibri"/>
          <w:b w:val="1"/>
          <w:rtl w:val="0"/>
        </w:rPr>
        <w:t xml:space="preserve">Two credits in a world language, which may include American Sign Language, may be used to complete Option 1 of elective credits required for graduation. (If students select a world language to fulfill the Maryland diploma requirements, it is recommended that the two world language credits be in the same language.)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left="720" w:right="1058.480224609375"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AMERICAN SIGN LANGUAGE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sz w:val="26"/>
          <w:szCs w:val="26"/>
        </w:rPr>
      </w:pPr>
      <w:r w:rsidDel="00000000" w:rsidR="00000000" w:rsidRPr="00000000">
        <w:rPr>
          <w:rtl w:val="0"/>
        </w:rPr>
      </w:r>
    </w:p>
    <w:tbl>
      <w:tblPr>
        <w:tblStyle w:val="Table1"/>
        <w:tblW w:w="11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085"/>
        <w:gridCol w:w="6645"/>
        <w:tblGridChange w:id="0">
          <w:tblGrid>
            <w:gridCol w:w="2400"/>
            <w:gridCol w:w="2085"/>
            <w:gridCol w:w="6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3.92518043518066" w:lineRule="auto"/>
              <w:ind w:left="241.35360717773438" w:right="167.372436523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American Sign Language 1  A/B</w:t>
            </w:r>
          </w:p>
          <w:p w:rsidR="00000000" w:rsidDel="00000000" w:rsidP="00000000" w:rsidRDefault="00000000" w:rsidRPr="00000000" w14:paraId="0000000F">
            <w:pPr>
              <w:widowControl w:val="0"/>
              <w:spacing w:line="243.92518043518066" w:lineRule="auto"/>
              <w:ind w:left="241.35360717773438" w:right="167.37243652343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0">
            <w:pPr>
              <w:widowControl w:val="0"/>
              <w:spacing w:line="243.92518043518066" w:lineRule="auto"/>
              <w:ind w:left="0" w:right="167.3724365234375" w:firstLine="0"/>
              <w:jc w:val="left"/>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3.92518043518066" w:lineRule="auto"/>
              <w:ind w:left="241.35360717773438" w:right="167.372436523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WLG2001A / WLG2001B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6.2856101989746" w:lineRule="auto"/>
              <w:ind w:left="92.38555908203125" w:right="520.770263671875" w:hanging="0.19897460937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ASL 1 is an introduction to American Sign Language (ASL). Includes basic grammar, vocabulary,  fingerspelling, numbers, and cultural information related to the Deaf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3.3808422088623" w:lineRule="auto"/>
              <w:ind w:left="241.35360717773438" w:right="167.372436523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American Sign Language 2  A/B </w:t>
            </w:r>
          </w:p>
          <w:p w:rsidR="00000000" w:rsidDel="00000000" w:rsidP="00000000" w:rsidRDefault="00000000" w:rsidRPr="00000000" w14:paraId="00000014">
            <w:pPr>
              <w:widowControl w:val="0"/>
              <w:spacing w:before="276.81579589843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15">
            <w:pPr>
              <w:widowControl w:val="0"/>
              <w:spacing w:before="11.1260986328125" w:line="243.3801555633545" w:lineRule="auto"/>
              <w:ind w:left="190.17601013183594" w:right="126.69769287109375"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American Sign Language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3.3808422088623" w:lineRule="auto"/>
              <w:ind w:left="241.35360717773438" w:right="167.372436523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WLG2002A / WLG2002B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5.685453414917" w:lineRule="auto"/>
              <w:ind w:left="97.76397705078125" w:right="794.613037109375" w:hanging="5.5773925781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ASL 2 is a continuation of ASL 1. Expands vocabulary, grammatical knowledge, and cultural  awareness. Introduces increasingly complex grammatical aspects.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3.38129997253418" w:lineRule="auto"/>
              <w:ind w:left="241.35360717773438" w:right="167.372436523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American Sign Language 3  A/B </w:t>
            </w:r>
          </w:p>
          <w:p w:rsidR="00000000" w:rsidDel="00000000" w:rsidP="00000000" w:rsidRDefault="00000000" w:rsidRPr="00000000" w14:paraId="00000019">
            <w:pPr>
              <w:widowControl w:val="0"/>
              <w:spacing w:before="276.8151855468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1A">
            <w:pPr>
              <w:widowControl w:val="0"/>
              <w:spacing w:before="11.1260986328125" w:line="243.7427043914795" w:lineRule="auto"/>
              <w:ind w:left="190.17601013183594" w:right="175.0531005859375"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American Sign Language 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3.38129997253418" w:lineRule="auto"/>
              <w:ind w:left="241.35360717773438" w:right="167.372436523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WLG2003A / WLG2003B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5.68482398986816" w:lineRule="auto"/>
              <w:ind w:left="97.76397705078125" w:right="792.8271484375" w:hanging="5.5773925781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ASL 3 is a continuation of ASL 2. Expands vocabulary, grammatical knowledge, and cultural  awareness. Introduces increasingly complex grammatical aspects.</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FRENCH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sz w:val="26"/>
          <w:szCs w:val="26"/>
        </w:rPr>
      </w:pPr>
      <w:r w:rsidDel="00000000" w:rsidR="00000000" w:rsidRPr="00000000">
        <w:rPr>
          <w:rtl w:val="0"/>
        </w:rPr>
      </w:r>
    </w:p>
    <w:tbl>
      <w:tblPr>
        <w:tblStyle w:val="Table2"/>
        <w:tblW w:w="111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6495"/>
        <w:tblGridChange w:id="0">
          <w:tblGrid>
            <w:gridCol w:w="2340"/>
            <w:gridCol w:w="2340"/>
            <w:gridCol w:w="6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French 1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WLG2041A / WLG2041B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5.685453414917" w:lineRule="auto"/>
              <w:ind w:left="103.14239501953125" w:right="698.411865234375" w:firstLine="2.390441894531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An introduction to the French language, geography, and culture. Students will develop a basic ability to understand, read, speak, and write French in the present tense.  Major topics include: salutations, family, likes/dislikes, food and home.</w:t>
            </w:r>
          </w:p>
          <w:p w:rsidR="00000000" w:rsidDel="00000000" w:rsidP="00000000" w:rsidRDefault="00000000" w:rsidRPr="00000000" w14:paraId="00000026">
            <w:pPr>
              <w:widowControl w:val="0"/>
              <w:spacing w:line="245.685453414917" w:lineRule="auto"/>
              <w:ind w:left="103.14239501953125" w:right="698.411865234375" w:firstLine="2.39044189453125"/>
              <w:rPr>
                <w:rFonts w:ascii="Calibri" w:cs="Calibri" w:eastAsia="Calibri" w:hAnsi="Calibri"/>
                <w:sz w:val="19.920000076293945"/>
                <w:szCs w:val="19.92000007629394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French 2 A/B </w:t>
            </w:r>
          </w:p>
          <w:p w:rsidR="00000000" w:rsidDel="00000000" w:rsidP="00000000" w:rsidRDefault="00000000" w:rsidRPr="00000000" w14:paraId="00000028">
            <w:pPr>
              <w:widowControl w:val="0"/>
              <w:spacing w:before="279.9255371093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29">
            <w:pPr>
              <w:widowControl w:val="0"/>
              <w:spacing w:before="11.126098632812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French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WLG2042A / WLG2042B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5.68482398986816" w:lineRule="auto"/>
              <w:ind w:left="93.97918701171875" w:right="81.890869140625" w:firstLine="1.7929077148437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further their understanding of French communication skills with an emphasis on grammar, readings and conversation in the present and past tenses.  Major topics include: school, feelings, childhood and extracurricular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French 3 A/B (Hon) </w:t>
            </w:r>
          </w:p>
          <w:p w:rsidR="00000000" w:rsidDel="00000000" w:rsidP="00000000" w:rsidRDefault="00000000" w:rsidRPr="00000000" w14:paraId="0000002D">
            <w:pPr>
              <w:widowControl w:val="0"/>
              <w:spacing w:before="279.92614746093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2E">
            <w:pPr>
              <w:widowControl w:val="0"/>
              <w:spacing w:before="11.126098632812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French 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WLG2048A / WLG2048B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5.68482398986816" w:lineRule="auto"/>
              <w:ind w:left="93.97918701171875" w:right="89.259033203125" w:firstLine="1.79290771484375"/>
              <w:rPr>
                <w:rFonts w:ascii="Calibri" w:cs="Calibri" w:eastAsia="Calibri" w:hAnsi="Calibri"/>
                <w:b w:val="1"/>
                <w:sz w:val="26"/>
                <w:szCs w:val="26"/>
              </w:rPr>
            </w:pPr>
            <w:r w:rsidDel="00000000" w:rsidR="00000000" w:rsidRPr="00000000">
              <w:rPr>
                <w:rFonts w:ascii="Calibri" w:cs="Calibri" w:eastAsia="Calibri" w:hAnsi="Calibri"/>
                <w:sz w:val="19.920000076293945"/>
                <w:szCs w:val="19.920000076293945"/>
                <w:rtl w:val="0"/>
              </w:rPr>
              <w:t xml:space="preserve">Students speak French and use their skills to read literary, historic, cultural, and informational texts,  write essays and deliver oral presentations in the present, past, and future. Major topics include: the working world, emotional intelligence, the arts and the environment.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French 4 A/B (Hon) </w:t>
            </w:r>
          </w:p>
          <w:p w:rsidR="00000000" w:rsidDel="00000000" w:rsidP="00000000" w:rsidRDefault="00000000" w:rsidRPr="00000000" w14:paraId="00000032">
            <w:pPr>
              <w:widowControl w:val="0"/>
              <w:spacing w:before="277.526550292968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33">
            <w:pPr>
              <w:widowControl w:val="0"/>
              <w:spacing w:before="11.7266845703125" w:line="243.38104248046875" w:lineRule="auto"/>
              <w:ind w:left="293.7408447265625" w:right="218.32000732421875"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French 3 A/B or French 3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WLG2049A / WLG2049B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5.68476676940918" w:lineRule="auto"/>
              <w:ind w:left="105.5328369140625" w:right="329.959716796875" w:hanging="9.760742187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continue practicing skills attained in the lower levels and further their understanding of  French speaking countries and cultures through intensive study and immersion.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French 5 A/B </w:t>
            </w:r>
          </w:p>
          <w:p w:rsidR="00000000" w:rsidDel="00000000" w:rsidP="00000000" w:rsidRDefault="00000000" w:rsidRPr="00000000" w14:paraId="00000037">
            <w:pPr>
              <w:widowControl w:val="0"/>
              <w:spacing w:before="279.926452636718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38">
            <w:pPr>
              <w:widowControl w:val="0"/>
              <w:spacing w:before="11.1264038085937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French 4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WLG2045A / WLG2045B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5.68476676940918" w:lineRule="auto"/>
              <w:ind w:left="97.76397705078125" w:right="123.3544921875" w:hanging="5.5773925781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An advanced French communications course where the focus is to strengthen communication skills and awareness of the culture and everyday life of French speakers through five major themes.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French 5A/B </w:t>
            </w:r>
          </w:p>
          <w:p w:rsidR="00000000" w:rsidDel="00000000" w:rsidP="00000000" w:rsidRDefault="00000000" w:rsidRPr="00000000" w14:paraId="0000003C">
            <w:pPr>
              <w:widowControl w:val="0"/>
              <w:spacing w:before="277.52624511718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3D">
            <w:pPr>
              <w:widowControl w:val="0"/>
              <w:spacing w:before="11.126327514648438"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French 4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WLG2209A / WLG2209B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4.48050498962402" w:lineRule="auto"/>
              <w:ind w:left="92.18658447265625" w:right="129.498291015625" w:hanging="1.7926025390625"/>
              <w:rPr>
                <w:rFonts w:ascii="Calibri" w:cs="Calibri" w:eastAsia="Calibri" w:hAnsi="Calibri"/>
                <w:b w:val="1"/>
                <w:sz w:val="26"/>
                <w:szCs w:val="26"/>
              </w:rPr>
            </w:pPr>
            <w:r w:rsidDel="00000000" w:rsidR="00000000" w:rsidRPr="00000000">
              <w:rPr>
                <w:rFonts w:ascii="Calibri" w:cs="Calibri" w:eastAsia="Calibri" w:hAnsi="Calibri"/>
                <w:sz w:val="19.920000076293945"/>
                <w:szCs w:val="19.920000076293945"/>
                <w:rtl w:val="0"/>
              </w:rPr>
              <w:t xml:space="preserve">An advanced French communications course where the focus is to strengthen communication skills  and awareness of the culture and everyday life of French speakers through five major themes. This course prepares the student for the IB exam.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French 6 A/B </w:t>
            </w:r>
          </w:p>
          <w:p w:rsidR="00000000" w:rsidDel="00000000" w:rsidP="00000000" w:rsidRDefault="00000000" w:rsidRPr="00000000" w14:paraId="00000041">
            <w:pPr>
              <w:widowControl w:val="0"/>
              <w:spacing w:before="277.526855468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42">
            <w:pPr>
              <w:widowControl w:val="0"/>
              <w:spacing w:before="11.52709960937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French 5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WLG2046A / WLG2046B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5.68408012390137" w:lineRule="auto"/>
              <w:ind w:left="96.7681884765625" w:right="187.864990234375" w:firstLine="1.394348144531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Continuation of the advanced French communications course using everyday situations and media  sources to enhance their communication skills through five major themes.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French 6 A/B </w:t>
            </w:r>
          </w:p>
          <w:p w:rsidR="00000000" w:rsidDel="00000000" w:rsidP="00000000" w:rsidRDefault="00000000" w:rsidRPr="00000000" w14:paraId="00000046">
            <w:pPr>
              <w:widowControl w:val="0"/>
              <w:spacing w:before="279.926757812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47">
            <w:pPr>
              <w:widowControl w:val="0"/>
              <w:spacing w:before="11.126708984375" w:line="243.38141441345215" w:lineRule="auto"/>
              <w:ind w:left="175.92010498046875" w:right="101.9903564453125"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IB French 5 A/B or French 5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WLG2210A / WLG2210B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5.6828498840332" w:lineRule="auto"/>
              <w:ind w:left="96.7681884765625" w:right="182.401123046875" w:firstLine="1.39434814453125"/>
              <w:rPr>
                <w:rFonts w:ascii="Calibri" w:cs="Calibri" w:eastAsia="Calibri" w:hAnsi="Calibri"/>
                <w:b w:val="1"/>
                <w:sz w:val="26"/>
                <w:szCs w:val="26"/>
              </w:rPr>
            </w:pPr>
            <w:r w:rsidDel="00000000" w:rsidR="00000000" w:rsidRPr="00000000">
              <w:rPr>
                <w:rFonts w:ascii="Calibri" w:cs="Calibri" w:eastAsia="Calibri" w:hAnsi="Calibri"/>
                <w:sz w:val="19.920000076293945"/>
                <w:szCs w:val="19.920000076293945"/>
                <w:rtl w:val="0"/>
              </w:rPr>
              <w:t xml:space="preserve">Continuation of the advanced French communications course using everyday situations and media  sources to enhance their communication skills through five major themes.  This course prepares the student for the IB exam.</w:t>
            </w:r>
            <w:r w:rsidDel="00000000" w:rsidR="00000000" w:rsidRPr="00000000">
              <w:rPr>
                <w:rtl w:val="0"/>
              </w:rPr>
            </w:r>
          </w:p>
          <w:p w:rsidR="00000000" w:rsidDel="00000000" w:rsidP="00000000" w:rsidRDefault="00000000" w:rsidRPr="00000000" w14:paraId="0000004A">
            <w:pPr>
              <w:widowControl w:val="0"/>
              <w:spacing w:before="7.6171875" w:line="240" w:lineRule="auto"/>
              <w:ind w:left="0" w:firstLine="0"/>
              <w:rPr>
                <w:rFonts w:ascii="Calibri" w:cs="Calibri" w:eastAsia="Calibri" w:hAnsi="Calibri"/>
                <w:b w:val="1"/>
                <w:i w:val="1"/>
                <w:sz w:val="19.920000076293945"/>
                <w:szCs w:val="19.92000007629394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French 7 A/B </w:t>
            </w:r>
          </w:p>
          <w:p w:rsidR="00000000" w:rsidDel="00000000" w:rsidP="00000000" w:rsidRDefault="00000000" w:rsidRPr="00000000" w14:paraId="0000004C">
            <w:pPr>
              <w:widowControl w:val="0"/>
              <w:spacing w:before="277.526855468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4D">
            <w:pPr>
              <w:widowControl w:val="0"/>
              <w:spacing w:before="11.12670898437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IB French 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WLG2211A / WLG2211B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4.47978973388672" w:lineRule="auto"/>
              <w:ind w:left="96.7681884765625" w:right="181.534423828125" w:firstLine="1.394348144531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Continuation of the advanced French communications course using everyday situations and media  sources to enhance their communication skills. HL exam preparation. Acceptance in course based on Teacher recommendation. </w:t>
            </w:r>
          </w:p>
          <w:p w:rsidR="00000000" w:rsidDel="00000000" w:rsidP="00000000" w:rsidRDefault="00000000" w:rsidRPr="00000000" w14:paraId="00000050">
            <w:pPr>
              <w:widowControl w:val="0"/>
              <w:spacing w:before="8.614501953125" w:line="240" w:lineRule="auto"/>
              <w:ind w:left="93.97918701171875" w:firstLine="0"/>
              <w:rPr>
                <w:rFonts w:ascii="Calibri" w:cs="Calibri" w:eastAsia="Calibri" w:hAnsi="Calibri"/>
                <w:b w:val="1"/>
                <w:i w:val="1"/>
                <w:sz w:val="19.920000076293945"/>
                <w:szCs w:val="19.920000076293945"/>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69921875" w:line="244.63171005249023" w:lineRule="auto"/>
        <w:ind w:right="1058.480224609375"/>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SPANISH</w:t>
        <w:br w:type="textWrapping"/>
      </w:r>
    </w:p>
    <w:tbl>
      <w:tblPr>
        <w:tblStyle w:val="Table3"/>
        <w:tblW w:w="11326.7997741699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5.860343569561"/>
        <w:gridCol w:w="2275.860343569561"/>
        <w:gridCol w:w="6775.079087030803"/>
        <w:tblGridChange w:id="0">
          <w:tblGrid>
            <w:gridCol w:w="2275.860343569561"/>
            <w:gridCol w:w="2275.860343569561"/>
            <w:gridCol w:w="6775.079087030803"/>
          </w:tblGrid>
        </w:tblGridChange>
      </w:tblGrid>
      <w:tr>
        <w:trPr>
          <w:cantSplit w:val="0"/>
          <w:trHeight w:val="47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sz w:val="24"/>
                <w:szCs w:val="24"/>
                <w:rtl w:val="0"/>
              </w:rPr>
              <w:t xml:space="preserve">Course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w:t>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1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WLG2131A / WLG2131B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91.9873046875" w:right="230.888671875" w:firstLine="13.5455322265625"/>
              <w:jc w:val="left"/>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begin to learn to communicate orally and in writing in a culturally appropriate manner about topics related to daily life. They interpret basic information when listening and reading. Vocabulary and basic grammatical structures are taught within the context of these familiar topics. Culture is embedded throughout the course.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0" w:right="230.888671875" w:firstLine="0"/>
              <w:jc w:val="left"/>
              <w:rPr>
                <w:rFonts w:ascii="Calibri" w:cs="Calibri" w:eastAsia="Calibri" w:hAnsi="Calibri"/>
                <w:sz w:val="19.920000076293945"/>
                <w:szCs w:val="19.920000076293945"/>
              </w:rPr>
            </w:pPr>
            <w:r w:rsidDel="00000000" w:rsidR="00000000" w:rsidRPr="00000000">
              <w:rPr>
                <w:rtl w:val="0"/>
              </w:rPr>
            </w:r>
          </w:p>
        </w:tc>
      </w:tr>
      <w:tr>
        <w:trPr>
          <w:cantSplit w:val="0"/>
          <w:trHeight w:val="12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2 A/B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WLG2132A / WLG2132B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97.76397705078125" w:right="829.703369140625" w:hanging="1.99188232421875"/>
              <w:jc w:val="left"/>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expand their ability to communicate orally and in writing in a culturally appropriate manner about topics related to daily life. They interpret information when listening and reading. Vocabulary and grammatical structures are taught within the context of these topics. Culture is embedded throughout the course.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97.76397705078125" w:right="829.703369140625" w:hanging="1.99188232421875"/>
              <w:jc w:val="left"/>
              <w:rPr>
                <w:rFonts w:ascii="Calibri" w:cs="Calibri" w:eastAsia="Calibri" w:hAnsi="Calibri"/>
                <w:sz w:val="19.920000076293945"/>
                <w:szCs w:val="19.920000076293945"/>
              </w:rPr>
            </w:pPr>
            <w:r w:rsidDel="00000000" w:rsidR="00000000" w:rsidRPr="00000000">
              <w:rPr>
                <w:rtl w:val="0"/>
              </w:rPr>
            </w:r>
          </w:p>
        </w:tc>
      </w:tr>
      <w:tr>
        <w:trPr>
          <w:cantSplit w:val="0"/>
          <w:trHeight w:val="125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3 A/B (Hon)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73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487792968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WLG2138A / WLG2138B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5.68408012390137" w:lineRule="auto"/>
              <w:ind w:left="91.9873046875" w:right="509.5703125" w:firstLine="3.7847900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continue to expand their ability to communicate orally and in writing in a culturally appropriate manner about a variety of familiar topics. They interpret detailed information when listening and reading. Vocabulary and more complex grammatical structures are taught within the context of these topics. Culture is embedded throughout the course. </w:t>
            </w:r>
          </w:p>
          <w:p w:rsidR="00000000" w:rsidDel="00000000" w:rsidP="00000000" w:rsidRDefault="00000000" w:rsidRPr="00000000" w14:paraId="00000066">
            <w:pPr>
              <w:widowControl w:val="0"/>
              <w:spacing w:line="245.68408012390137" w:lineRule="auto"/>
              <w:ind w:left="91.9873046875" w:right="509.5703125" w:firstLine="3.7847900390625"/>
              <w:rPr>
                <w:rFonts w:ascii="Calibri" w:cs="Calibri" w:eastAsia="Calibri" w:hAnsi="Calibri"/>
                <w:sz w:val="19.920000076293945"/>
                <w:szCs w:val="19.920000076293945"/>
              </w:rPr>
            </w:pPr>
            <w:r w:rsidDel="00000000" w:rsidR="00000000" w:rsidRPr="00000000">
              <w:rPr>
                <w:rtl w:val="0"/>
              </w:rPr>
            </w:r>
          </w:p>
        </w:tc>
      </w:tr>
      <w:tr>
        <w:trPr>
          <w:cantSplit w:val="0"/>
          <w:trHeight w:val="15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4 A/B (Hon)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89.60006713867188" w:right="122.636718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3 A/B or Spanish 3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WLG2139A / WLG2139B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5.68482398986816" w:lineRule="auto"/>
              <w:ind w:left="95.7720947265625" w:right="332.08251953125" w:firstLine="0"/>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Students continue practicing skills attained in the lower levels and further their understanding of  advanced grammar structures and Spanish speaking countries and cultures through reading and listening authentic texts, videos, and podcasts. Oral communication skills are enhanced by delivering oral presentations and speaking the target language in group activities.</w:t>
            </w:r>
            <w:r w:rsidDel="00000000" w:rsidR="00000000" w:rsidRPr="00000000">
              <w:rPr>
                <w:rtl w:val="0"/>
              </w:rPr>
            </w:r>
          </w:p>
        </w:tc>
      </w:tr>
      <w:tr>
        <w:trPr>
          <w:cantSplit w:val="0"/>
          <w:trHeight w:val="125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5 A/B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4 A/B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WLG2135A / WLG2135B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5.68482398986816" w:lineRule="auto"/>
              <w:ind w:left="95.7720947265625" w:right="332.08251953125" w:firstLine="0"/>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In level 5, students continue practicing skills attained in Spanish 4 and apply their understanding of advanced grammar structures and Spanish speaking countries and cultures through reading and listening authentic texts, videos, and podcasts. Oral communication skills are enhanced by delivering oral presentations and speaking the target language in group activities.</w:t>
            </w:r>
          </w:p>
          <w:p w:rsidR="00000000" w:rsidDel="00000000" w:rsidP="00000000" w:rsidRDefault="00000000" w:rsidRPr="00000000" w14:paraId="00000071">
            <w:pPr>
              <w:widowControl w:val="0"/>
              <w:spacing w:line="245.68482398986816" w:lineRule="auto"/>
              <w:ind w:left="95.7720947265625" w:right="332.08251953125" w:firstLine="0"/>
              <w:rPr>
                <w:rFonts w:ascii="Calibri" w:cs="Calibri" w:eastAsia="Calibri" w:hAnsi="Calibri"/>
                <w:sz w:val="19.920000076293945"/>
                <w:szCs w:val="19.920000076293945"/>
              </w:rPr>
            </w:pPr>
            <w:r w:rsidDel="00000000" w:rsidR="00000000" w:rsidRPr="00000000">
              <w:rPr>
                <w:rtl w:val="0"/>
              </w:rPr>
            </w:r>
          </w:p>
        </w:tc>
      </w:tr>
      <w:tr>
        <w:trPr>
          <w:cantSplit w:val="0"/>
          <w:trHeight w:val="15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5 A/B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48.800048828125" w:right="127.0657348632812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4 A/B (Hon) or SSS A/B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WLG2227A / WLG2227B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5.68482398986816" w:lineRule="auto"/>
              <w:ind w:left="95.7720947265625" w:right="332.08251953125" w:firstLine="0"/>
              <w:rPr>
                <w:rFonts w:ascii="Calibri" w:cs="Calibri" w:eastAsia="Calibri" w:hAnsi="Calibri"/>
                <w:b w:val="1"/>
                <w:i w:val="1"/>
                <w:sz w:val="19.920000076293945"/>
                <w:szCs w:val="19.920000076293945"/>
              </w:rPr>
            </w:pPr>
            <w:r w:rsidDel="00000000" w:rsidR="00000000" w:rsidRPr="00000000">
              <w:rPr>
                <w:rFonts w:ascii="Calibri" w:cs="Calibri" w:eastAsia="Calibri" w:hAnsi="Calibri"/>
                <w:sz w:val="19.920000076293945"/>
                <w:szCs w:val="19.920000076293945"/>
                <w:rtl w:val="0"/>
              </w:rPr>
              <w:t xml:space="preserve">In level IB, students continue practicing skills attained in Spanish 4 and apply their understanding of advanced grammar structures and Spanish speaking countries and cultures through reading and listening authentic texts (text types), videos, and podcasts. Oral communication skills are enhanced by delivering oral presentations and speaking the target language in group activities.</w:t>
            </w:r>
            <w:r w:rsidDel="00000000" w:rsidR="00000000" w:rsidRPr="00000000">
              <w:rPr>
                <w:rtl w:val="0"/>
              </w:rPr>
            </w:r>
          </w:p>
        </w:tc>
      </w:tr>
      <w:tr>
        <w:trPr>
          <w:cantSplit w:val="0"/>
          <w:trHeight w:val="125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6 A/B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5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WLG2136A / WLG2136B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96.7681884765625" w:right="118.14453125" w:firstLine="1.3943481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Spanish communications course using everyday situations and media  sources to enhance their communication skills. </w:t>
            </w:r>
          </w:p>
        </w:tc>
      </w:tr>
      <w:tr>
        <w:trPr>
          <w:cantSplit w:val="0"/>
          <w:trHeight w:val="152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6 A/B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67333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3.38104248046875" w:lineRule="auto"/>
              <w:ind w:left="159.12002563476562" w:right="84.863891601562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Spanish 5 A/B or Spanish  5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WLG2228A / WLG2228B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56298828125" w:line="240" w:lineRule="auto"/>
              <w:ind w:left="93.97918701171875" w:right="0" w:firstLine="0"/>
              <w:jc w:val="left"/>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Instruction in IB Level 6 world language courses emphasizes critical analysis of the structural and stylistic characteristics of works, composing well-constructed extended essays, oral proficiency at the near-native level, and continued in-depth study of the life and civilization of pertinent countries. Students are prepared for the higher-level IB exam.</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56298828125" w:line="240" w:lineRule="auto"/>
              <w:ind w:left="93.97918701171875" w:right="0" w:firstLine="0"/>
              <w:jc w:val="left"/>
              <w:rPr>
                <w:rFonts w:ascii="Calibri" w:cs="Calibri" w:eastAsia="Calibri" w:hAnsi="Calibri"/>
                <w:sz w:val="19.920000076293945"/>
                <w:szCs w:val="19.920000076293945"/>
              </w:rPr>
            </w:pPr>
            <w:r w:rsidDel="00000000" w:rsidR="00000000" w:rsidRPr="00000000">
              <w:rPr>
                <w:rtl w:val="0"/>
              </w:rPr>
            </w:r>
          </w:p>
        </w:tc>
      </w:tr>
      <w:tr>
        <w:trPr>
          <w:cantSplit w:val="0"/>
          <w:trHeight w:val="152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Spanish 7 A/B (HL) </w:t>
            </w:r>
          </w:p>
          <w:p w:rsidR="00000000" w:rsidDel="00000000" w:rsidP="00000000" w:rsidRDefault="00000000" w:rsidRPr="00000000" w14:paraId="00000083">
            <w:pPr>
              <w:widowControl w:val="0"/>
              <w:spacing w:before="277.52685546875" w:line="240" w:lineRule="auto"/>
              <w:ind w:right="778.316650390625"/>
              <w:jc w:val="righ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84">
            <w:pPr>
              <w:widowControl w:val="0"/>
              <w:spacing w:before="11.52709960937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IB Spanish 6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212529"/>
                <w:sz w:val="23"/>
                <w:szCs w:val="23"/>
                <w:highlight w:val="white"/>
                <w:rtl w:val="0"/>
              </w:rPr>
              <w:t xml:space="preserve">WLG2229A / WLG2229B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4.47978973388672" w:lineRule="auto"/>
              <w:ind w:left="93.97918701171875" w:right="508.575439453125" w:firstLine="11.5536499023437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continue to develop their reading and writing skills in preparation for the IB higher-level language examination.</w:t>
            </w:r>
          </w:p>
          <w:p w:rsidR="00000000" w:rsidDel="00000000" w:rsidP="00000000" w:rsidRDefault="00000000" w:rsidRPr="00000000" w14:paraId="00000087">
            <w:pPr>
              <w:widowControl w:val="0"/>
              <w:spacing w:line="244.47978973388672" w:lineRule="auto"/>
              <w:ind w:left="93.97918701171875" w:right="508.575439453125" w:firstLine="11.55364990234375"/>
              <w:rPr>
                <w:rFonts w:ascii="Calibri" w:cs="Calibri" w:eastAsia="Calibri" w:hAnsi="Calibri"/>
                <w:sz w:val="19.920000076293945"/>
                <w:szCs w:val="19.920000076293945"/>
              </w:rPr>
            </w:pPr>
            <w:r w:rsidDel="00000000" w:rsidR="00000000" w:rsidRPr="00000000">
              <w:rPr>
                <w:rtl w:val="0"/>
              </w:rPr>
            </w:r>
          </w:p>
        </w:tc>
      </w:tr>
      <w:tr>
        <w:trPr>
          <w:cantSplit w:val="0"/>
          <w:trHeight w:val="1643.9187622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Spanish Language A/B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4628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5 A/B or SSS 3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WLG2152A / WLG2152B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6260871887207" w:lineRule="auto"/>
              <w:ind w:left="97.564697265625" w:right="43.841552734375" w:hanging="7.37030029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AP Spanish Language and Culture course engages students in an exploration of culture in both  contemporary and historical contexts. The course develops students’ awareness and appreciation of  products, both tangible (e.g., tools, books) and intangible (e.g., laws, conventions, institutions);  practices (patterns of social interactions within a culture);and perspectives (values, attitudes, and  assumptions that underlie both practices and products). </w:t>
            </w:r>
            <w:r w:rsidDel="00000000" w:rsidR="00000000" w:rsidRPr="00000000">
              <w:rPr>
                <w:rtl w:val="0"/>
              </w:rPr>
            </w:r>
          </w:p>
        </w:tc>
      </w:tr>
      <w:tr>
        <w:trPr>
          <w:cantSplit w:val="0"/>
          <w:trHeight w:val="1643.9187622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AP Sapanish Literature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12529"/>
                <w:sz w:val="23"/>
                <w:szCs w:val="23"/>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5.06260871887207" w:lineRule="auto"/>
              <w:ind w:left="97.564697265625" w:right="43.841552734375" w:hanging="7.37030029296875"/>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Actor" w:cs="Actor" w:eastAsia="Actor" w:hAnsi="Actor"/>
                <w:color w:val="1e1e1e"/>
                <w:sz w:val="20"/>
                <w:szCs w:val="20"/>
                <w:rtl w:val="0"/>
              </w:rPr>
              <w:t xml:space="preserve">AP Spanish Literature is equivalent to a colleague level introductory course of literature written in Spanish. Students continue to develop their interpretive, interpersonal, and presentational skills in Spanish language as well as critical reading and analytical writing as they explore short stories, novels, plays, essays, and poetry from Spain, Latin America, and U.S. Hispanic authors along with other non-required texts.</w:t>
            </w:r>
            <w:r w:rsidDel="00000000" w:rsidR="00000000" w:rsidRPr="00000000">
              <w:rPr>
                <w:rFonts w:ascii="Actor" w:cs="Actor" w:eastAsia="Actor" w:hAnsi="Actor"/>
                <w:i w:val="1"/>
                <w:color w:val="1e1e1e"/>
                <w:sz w:val="20"/>
                <w:szCs w:val="20"/>
                <w:u w:val="single"/>
                <w:rtl w:val="0"/>
              </w:rPr>
              <w:t xml:space="preserve"> </w:t>
            </w: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2">
      <w:pPr>
        <w:widowControl w:val="0"/>
        <w:spacing w:before="98.6669921875" w:line="244.63171005249023" w:lineRule="auto"/>
        <w:ind w:right="1058.480224609375"/>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SPANISH FOR SPANISH SPEAKERS</w:t>
      </w:r>
    </w:p>
    <w:p w:rsidR="00000000" w:rsidDel="00000000" w:rsidP="00000000" w:rsidRDefault="00000000" w:rsidRPr="00000000" w14:paraId="00000093">
      <w:pPr>
        <w:widowControl w:val="0"/>
        <w:spacing w:before="98.6669921875" w:line="244.63171005249023" w:lineRule="auto"/>
        <w:ind w:right="1058.480224609375"/>
        <w:rPr>
          <w:rFonts w:ascii="Calibri" w:cs="Calibri" w:eastAsia="Calibri" w:hAnsi="Calibri"/>
          <w:b w:val="1"/>
          <w:sz w:val="26"/>
          <w:szCs w:val="26"/>
        </w:rPr>
      </w:pPr>
      <w:r w:rsidDel="00000000" w:rsidR="00000000" w:rsidRPr="00000000">
        <w:rPr>
          <w:rtl w:val="0"/>
        </w:rPr>
      </w:r>
    </w:p>
    <w:tbl>
      <w:tblPr>
        <w:tblStyle w:val="Table4"/>
        <w:tblW w:w="11326.7997741699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5.860343569561"/>
        <w:gridCol w:w="2275.860343569561"/>
        <w:gridCol w:w="6775.079087030803"/>
        <w:tblGridChange w:id="0">
          <w:tblGrid>
            <w:gridCol w:w="2275.860343569561"/>
            <w:gridCol w:w="2275.860343569561"/>
            <w:gridCol w:w="6775.079087030803"/>
          </w:tblGrid>
        </w:tblGridChange>
      </w:tblGrid>
      <w:tr>
        <w:trPr>
          <w:cantSplit w:val="0"/>
          <w:trHeight w:val="17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29861450195" w:lineRule="auto"/>
              <w:ind w:left="118.1280517578125" w:right="39.54833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for Spanish Speakers  1 A/B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(SSS 1)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Placement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29861450195" w:lineRule="auto"/>
              <w:ind w:left="118.1280517578125" w:right="39.54833984375"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WLG2141A / WLG2141B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03.73992919921875" w:right="299.949951171875" w:hanging="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Spanish for Spanish Speakers 1 provides language instruction for students with proficiency in Spanish, either because it is their first language or is spoken extensively in the home. The course integrates history, culture, language, and connections related to the Spanish-speaking world.</w:t>
            </w:r>
            <w:r w:rsidDel="00000000" w:rsidR="00000000" w:rsidRPr="00000000">
              <w:rPr>
                <w:rtl w:val="0"/>
              </w:rPr>
            </w:r>
          </w:p>
        </w:tc>
      </w:tr>
      <w:tr>
        <w:trPr>
          <w:cantSplit w:val="0"/>
          <w:trHeight w:val="2062.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18.1280517578125" w:right="39.54833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for Spanish Speakers  2 A/B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(SSS 2)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3.38141441345215" w:lineRule="auto"/>
              <w:ind w:left="343.1999969482422" w:right="272.85766601562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SSS 1 A/B or placement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18.1280517578125" w:right="39.54833984375"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WLG2142A / WLG2142B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552795410156" w:lineRule="auto"/>
              <w:ind w:left="96.7681884765625" w:right="512.930908203125" w:firstLine="1.3943481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Spanish for Spanish Speakers 2 provides language instruction for students with proficiency in Spanish, either because it is their first language or is spoken extensively in the home. The course integrates history, culture, language, and connections related to the Spanish-speaking world.</w:t>
            </w:r>
            <w:r w:rsidDel="00000000" w:rsidR="00000000" w:rsidRPr="00000000">
              <w:rPr>
                <w:rtl w:val="0"/>
              </w:rPr>
            </w:r>
          </w:p>
        </w:tc>
      </w:tr>
      <w:tr>
        <w:trPr>
          <w:cantSplit w:val="0"/>
          <w:trHeight w:val="20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8.1280517578125" w:right="39.548339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Spanish for Spanish Speakers  3 A/B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(SSS 3)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1.20720863342285" w:lineRule="auto"/>
              <w:ind w:left="343.1999969482422" w:right="273.135681152343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SSS 2 A/B or placement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8.1280517578125" w:right="39.54833984375" w:firstLine="0"/>
              <w:jc w:val="center"/>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color w:val="212529"/>
                <w:sz w:val="23"/>
                <w:szCs w:val="23"/>
                <w:highlight w:val="white"/>
                <w:rtl w:val="0"/>
              </w:rPr>
              <w:t xml:space="preserve">WLG2143A / WLG2143B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97.564697265625" w:right="184.337158203125" w:firstLine="7.968139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Spanish for Spanish Speakers 3  provides language instruction for students with proficiency in Spanish, either because it is their first language or is spoken extensively in the home. It is an advanced-level course designed to prepare students for the Advanced Placement Spanish Language or Advanced Placement Spanish Literature exam.</w:t>
            </w: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06494140625" w:line="229.7843313217163" w:lineRule="auto"/>
        <w:ind w:left="16.800003051757812"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sectPr>
      <w:pgSz w:h="15840" w:w="12240" w:orient="portrait"/>
      <w:pgMar w:bottom="787.6792907714844" w:top="554.400634765625" w:left="559.1999816894531" w:right="354.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cto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cto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